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318" w:rsidRPr="00980318" w:rsidRDefault="00980318" w:rsidP="00980318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980318">
        <w:rPr>
          <w:rFonts w:ascii="Times New Roman" w:eastAsiaTheme="minorHAnsi" w:hAnsi="Times New Roman" w:cs="Times New Roman"/>
          <w:color w:val="auto"/>
          <w:sz w:val="28"/>
          <w:szCs w:val="28"/>
        </w:rPr>
        <w:t>Статья 69. Избирательные фонды кандидатов, избирательных объединений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"/>
      <w:bookmarkEnd w:id="0"/>
      <w:r w:rsidRPr="00980318">
        <w:rPr>
          <w:rFonts w:ascii="Times New Roman" w:hAnsi="Times New Roman" w:cs="Times New Roman"/>
          <w:sz w:val="28"/>
          <w:szCs w:val="28"/>
        </w:rPr>
        <w:t xml:space="preserve">1. Кандидат, выдвинутый по единому муниципальному избирательному округу, обязан создать собственный избирательный фонд для финансирования своей избирательной кампании в период после письменного уведомления соответствующей избирательной комиссии о своем выдвижении (самовыдвижении) до представления документов для регистрации этой избирательной комиссией. 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2. Избирательные фонды кандидатов могут формироваться за счет следующих денежных средств: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1) собственных средств кандидата, которые в совокупности не могут превышать 50 процентов от предельного размера расходования средств избирательного фонда кандидата, установленного </w:t>
      </w:r>
      <w:hyperlink w:anchor="Par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частями 3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6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2) средств, которые выделены кандидату выдвинувшим его избирательным объединением и которые в совокупности не могут превышать 50 процентов от предельного размера расходования средств избирательного фонда кандидата, установленного </w:t>
      </w:r>
      <w:hyperlink w:anchor="Par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частью 3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3) добровольных пожертвований граждан и юридических лиц в размере, в совокупности не превышающем каждое соответственно 5 и 50 процентов от предельного размера расходования средств избирательного фонда кандидата, установленного </w:t>
      </w:r>
      <w:hyperlink w:anchor="Par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частями 3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6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4(1)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7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09.04.2014 N 965-ЗЗК)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"/>
      <w:bookmarkStart w:id="2" w:name="Par16"/>
      <w:bookmarkEnd w:id="1"/>
      <w:bookmarkEnd w:id="2"/>
      <w:r w:rsidRPr="00980318">
        <w:rPr>
          <w:rFonts w:ascii="Times New Roman" w:hAnsi="Times New Roman" w:cs="Times New Roman"/>
          <w:sz w:val="28"/>
          <w:szCs w:val="28"/>
        </w:rPr>
        <w:t>4. Предельный размер расходования средств избирательного фонда кандидата в депутаты представительного органа поселения и на должность главы поселения составляет: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1) 30000 рублей - с численностью зарегистрированных избирателей в соответствующем избирательном округе не более 1 тысячи человек;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2) 60000 рублей - с численностью зарегистрированных избирателей в соответствующем избирательном округе не более 2 тысяч человек;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3) 300000 рублей - с численностью зарегистрированных избирателей в соответствующем избирательном округе не более 10 тысяч человек;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4) 450000 рублей - с численностью зарегистрированных избирателей в соответствующем избирательном округе не более 20 тысяч человек;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  <w:highlight w:val="yellow"/>
        </w:rPr>
        <w:t>5) 900000 рублей - с численностью зарегистрированных избирателей в соответствующем избирательном округе не более 60 тысяч человек.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09.04.2014 N 965-ЗЗК)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7"/>
      <w:bookmarkEnd w:id="3"/>
      <w:r w:rsidRPr="00980318">
        <w:rPr>
          <w:rFonts w:ascii="Times New Roman" w:hAnsi="Times New Roman" w:cs="Times New Roman"/>
          <w:sz w:val="28"/>
          <w:szCs w:val="28"/>
        </w:rPr>
        <w:t xml:space="preserve">7. В соответствии с Федеральным </w:t>
      </w:r>
      <w:hyperlink r:id="rId6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об основных гарантиях запрещается вносить пожертвования в избирательные фонды кандидатов, зарегистрированных кандидатов: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6"/>
      <w:bookmarkEnd w:id="4"/>
      <w:r w:rsidRPr="00980318">
        <w:rPr>
          <w:rFonts w:ascii="Times New Roman" w:hAnsi="Times New Roman" w:cs="Times New Roman"/>
          <w:sz w:val="28"/>
          <w:szCs w:val="28"/>
        </w:rPr>
        <w:t>1) иностранным государствам и иностранным организациям;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2) иностранным гражданам, за исключением случаев, предусмотренных </w:t>
      </w:r>
      <w:hyperlink r:id="rId7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частью 9 статьи 6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настоящего Закона края;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3) лицам без гражданства;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9"/>
      <w:bookmarkEnd w:id="5"/>
      <w:r w:rsidRPr="00980318">
        <w:rPr>
          <w:rFonts w:ascii="Times New Roman" w:hAnsi="Times New Roman" w:cs="Times New Roman"/>
          <w:sz w:val="28"/>
          <w:szCs w:val="28"/>
        </w:rPr>
        <w:lastRenderedPageBreak/>
        <w:t>4) гражданам Российской Федерации, не достигшим возраста 18 лет на день голосования;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0"/>
      <w:bookmarkEnd w:id="6"/>
      <w:r w:rsidRPr="00980318">
        <w:rPr>
          <w:rFonts w:ascii="Times New Roman" w:hAnsi="Times New Roman" w:cs="Times New Roman"/>
          <w:sz w:val="28"/>
          <w:szCs w:val="28"/>
        </w:rPr>
        <w:t>5) российским юридическим лицам с иностранным участием, если доля (вклад) иностранного участия в их уставном (складочном) капитале превышает 30 процентов на день официального опубликования (публикации) решения о назначении выборов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"/>
      <w:bookmarkEnd w:id="7"/>
      <w:r w:rsidRPr="00980318">
        <w:rPr>
          <w:rFonts w:ascii="Times New Roman" w:hAnsi="Times New Roman" w:cs="Times New Roman"/>
          <w:sz w:val="28"/>
          <w:szCs w:val="28"/>
        </w:rPr>
        <w:t>6) международным организациям и международным общественным движениям;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7) органам государственной власти, иным государственным органам, органам местного самоуправления;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3"/>
      <w:bookmarkEnd w:id="8"/>
      <w:r w:rsidRPr="00980318">
        <w:rPr>
          <w:rFonts w:ascii="Times New Roman" w:hAnsi="Times New Roman" w:cs="Times New Roman"/>
          <w:sz w:val="28"/>
          <w:szCs w:val="28"/>
        </w:rPr>
        <w:t>8) государственным и муниципальным учреждениям, государственным и муниципальным унитарным предприятиям;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4"/>
      <w:bookmarkEnd w:id="9"/>
      <w:proofErr w:type="gramStart"/>
      <w:r w:rsidRPr="00980318">
        <w:rPr>
          <w:rFonts w:ascii="Times New Roman" w:hAnsi="Times New Roman" w:cs="Times New Roman"/>
          <w:sz w:val="28"/>
          <w:szCs w:val="28"/>
        </w:rPr>
        <w:t>9) юридическим лицам, в уставном (складочном) капитале которых доля (вклад) Российской Федерации, субъектов Российской Федерации и (или) муниципальных образований превышает 30 процентов на день официального опубликования (публикации) решения о назначении выборов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год);</w:t>
      </w:r>
      <w:proofErr w:type="gramEnd"/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10) организациям, учрежденным государственными органами и (или) органами местного самоуправления (за исключением акционерных обществ, учрежденных в порядке приватизации); организациям, учрежденным юридическими лицами, указанными в </w:t>
      </w:r>
      <w:hyperlink w:anchor="Par50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пунктах 5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4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части статьи;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 xml:space="preserve">организациям, имеющим в своем уставном (складочном) капитале долю (вклад) юридических лиц, указанных в </w:t>
      </w:r>
      <w:hyperlink w:anchor="Par50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пунктах 5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4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части статьи, превышающую (превышающий) 30 процентов на день официального опубликования (публикации) решения о назначении выборов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год);</w:t>
      </w:r>
      <w:proofErr w:type="gramEnd"/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6"/>
      <w:bookmarkEnd w:id="10"/>
      <w:r w:rsidRPr="00980318">
        <w:rPr>
          <w:rFonts w:ascii="Times New Roman" w:hAnsi="Times New Roman" w:cs="Times New Roman"/>
          <w:sz w:val="28"/>
          <w:szCs w:val="28"/>
        </w:rPr>
        <w:t>11) воинским частям, военным учреждениям и организациям, правоохранительным органам;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12) благотворительным и религиозным организациям, а также учрежденным ими организациям;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13) анонимным жертвователям.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Под анонимным жертвователем понимается гражданин, который не указал в платежном документе на внесение пожертвования любое из следующих сведений: фамилию, имя 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сведения;</w:t>
      </w:r>
      <w:proofErr w:type="gramEnd"/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59"/>
      <w:bookmarkEnd w:id="11"/>
      <w:r w:rsidRPr="00980318">
        <w:rPr>
          <w:rFonts w:ascii="Times New Roman" w:hAnsi="Times New Roman" w:cs="Times New Roman"/>
          <w:sz w:val="28"/>
          <w:szCs w:val="28"/>
        </w:rPr>
        <w:t>14) юридическим лицам, зарегистрированным менее чем за один год до дня голосования на выборах, а также некоммерческим организациям, выполняющим функции иностранного агента;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8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31.03.2015 N 1156-ЗЗК)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1"/>
      <w:bookmarkEnd w:id="12"/>
      <w:r w:rsidRPr="00980318">
        <w:rPr>
          <w:rFonts w:ascii="Times New Roman" w:hAnsi="Times New Roman" w:cs="Times New Roman"/>
          <w:sz w:val="28"/>
          <w:szCs w:val="28"/>
        </w:rPr>
        <w:t xml:space="preserve">15) некоммерческим организациям, получившим в течение года, предшествующего дню внесения пожертвования в избирательный фонд, денежные средства либо иное имущество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>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62"/>
      <w:bookmarkEnd w:id="13"/>
      <w:r w:rsidRPr="00980318">
        <w:rPr>
          <w:rFonts w:ascii="Times New Roman" w:hAnsi="Times New Roman" w:cs="Times New Roman"/>
          <w:sz w:val="28"/>
          <w:szCs w:val="28"/>
        </w:rPr>
        <w:t xml:space="preserve">а) иностранных государств, а также от указанных в </w:t>
      </w:r>
      <w:hyperlink w:anchor="Par46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4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1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3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6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14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части статьи органов, организаций или физических лиц;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63"/>
      <w:bookmarkEnd w:id="14"/>
      <w:proofErr w:type="gramStart"/>
      <w:r w:rsidRPr="00980318">
        <w:rPr>
          <w:rFonts w:ascii="Times New Roman" w:hAnsi="Times New Roman" w:cs="Times New Roman"/>
          <w:sz w:val="28"/>
          <w:szCs w:val="28"/>
        </w:rPr>
        <w:t>б) российских юридических лиц с иностранным участием, если доля (вклад) иностранного участия в их уставном (складочном) капитале превышала (превышал) 30 процентов на день перечисления этих денежных средств либо передачи иного имущества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год);</w:t>
      </w:r>
      <w:proofErr w:type="gramEnd"/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64"/>
      <w:bookmarkEnd w:id="15"/>
      <w:proofErr w:type="gramStart"/>
      <w:r w:rsidRPr="00980318">
        <w:rPr>
          <w:rFonts w:ascii="Times New Roman" w:hAnsi="Times New Roman" w:cs="Times New Roman"/>
          <w:sz w:val="28"/>
          <w:szCs w:val="28"/>
        </w:rPr>
        <w:t>в) юридических лиц, в уставном (складочном) капитале которых доля (вклад) Российской Федерации, субъектов Российской Федерации и (или) муниципальных образований превышала (превышал) 30 процентов на день перечисления этих денежных средств либо передачи иного имущества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год);</w:t>
      </w:r>
      <w:proofErr w:type="gramEnd"/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г) организаций, учрежденных государственными органами и (или) органами местного самоуправления (за исключением акционерных обществ, учрежденных в порядке приватизации);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31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80318">
        <w:rPr>
          <w:rFonts w:ascii="Times New Roman" w:hAnsi="Times New Roman" w:cs="Times New Roman"/>
          <w:sz w:val="28"/>
          <w:szCs w:val="28"/>
        </w:rPr>
        <w:t xml:space="preserve">) организаций, учрежденных юридическими лицами, указанными в </w:t>
      </w:r>
      <w:hyperlink w:anchor="Par63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подпунктах "б"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64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67"/>
      <w:bookmarkEnd w:id="16"/>
      <w:proofErr w:type="gramStart"/>
      <w:r w:rsidRPr="00980318">
        <w:rPr>
          <w:rFonts w:ascii="Times New Roman" w:hAnsi="Times New Roman" w:cs="Times New Roman"/>
          <w:sz w:val="28"/>
          <w:szCs w:val="28"/>
        </w:rPr>
        <w:t xml:space="preserve">е) организаций, в уставном (складочном) капитале которых доля (вклад) юридических лиц, указанных в </w:t>
      </w:r>
      <w:hyperlink w:anchor="Par63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подпунктах "б"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64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настоящего пункта, превышала (превышал) 30 процентов на день перечисления этих денежных средств либо передачи иного имущества (для открытых акционерных обществ - на день составления списка лиц, имеющих право участвовать в годовом общем собрании акционеров за предыдущий финансовый год).</w:t>
      </w:r>
      <w:proofErr w:type="gramEnd"/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Право распоряжаться средствами избирательного фонда принадлежит исключительно создавшим этот фонд кандидату.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 xml:space="preserve"> Средства избирательного фонда могут использоваться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>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1) финансовое обеспечение организационно-технических мер, направленных на сбор подписей избирателей в поддержку выдвижения кандидата, в том числе на оплату труда лиц, привлекаемых для сбора подписей избирателей;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09.07.2012 N 695-ЗЗК)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2) предвыборную агитацию, а также на оплату работ (услуг) информационного и консультационного характера;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3) 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кандидатами, избирательными объединениями своей избирательной кампании.</w:t>
      </w:r>
    </w:p>
    <w:p w:rsidR="00980318" w:rsidRPr="00980318" w:rsidRDefault="00980318" w:rsidP="00980318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980318">
        <w:rPr>
          <w:rFonts w:ascii="Times New Roman" w:eastAsiaTheme="minorHAnsi" w:hAnsi="Times New Roman" w:cs="Times New Roman"/>
          <w:color w:val="auto"/>
          <w:sz w:val="28"/>
          <w:szCs w:val="28"/>
        </w:rPr>
        <w:lastRenderedPageBreak/>
        <w:t>Статья 70. Статус уполномоченных представителей по финансовым вопросам кандидатов, избирательных объединений и порядок их регистрации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79"/>
      <w:bookmarkEnd w:id="17"/>
      <w:r w:rsidRPr="00980318">
        <w:rPr>
          <w:rFonts w:ascii="Times New Roman" w:hAnsi="Times New Roman" w:cs="Times New Roman"/>
          <w:sz w:val="28"/>
          <w:szCs w:val="28"/>
        </w:rPr>
        <w:t>1. Кандидат, выдвинутый по единому муниципальному избирательному округу, вправе назначить уполномоченных представителей по финансовым вопросам. Уполномоченный представитель кандидата, избирательного объединения по финансовым вопросам осуществляет свои действия на основании нотариально удостоверенной доверенности.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2. При назначении уполномоченного представителя по финансовым вопросам кандидат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980318">
        <w:rPr>
          <w:rFonts w:ascii="Times New Roman" w:hAnsi="Times New Roman" w:cs="Times New Roman"/>
          <w:sz w:val="28"/>
          <w:szCs w:val="28"/>
        </w:rPr>
        <w:t xml:space="preserve"> передать ему следующие полномочия: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1) открытие и закрытие специального избирательного счета;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03.12.2019 N 1770-ЗЗК)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2) распоряжение средствами избирательного фонда;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3) учет денежных средств избирательного фонда;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 xml:space="preserve"> поступлением и расходованием средств избирательного фонда;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5) право подписи на расчетных документах;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6) составление итогового финансового отчета;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7) иные полномочия.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89"/>
      <w:bookmarkEnd w:id="18"/>
      <w:r w:rsidRPr="00980318">
        <w:rPr>
          <w:rFonts w:ascii="Times New Roman" w:hAnsi="Times New Roman" w:cs="Times New Roman"/>
          <w:sz w:val="28"/>
          <w:szCs w:val="28"/>
        </w:rPr>
        <w:t xml:space="preserve">3. Регистрация уполномоченного представителя кандидата по финансовым вопросам производится соответствующей избирательной комиссией на основании письменного заявления кандидата, заявления гражданина о согласии быть уполномоченным представителем по финансовым вопросам, доверенности, указанной в </w:t>
      </w:r>
      <w:hyperlink w:anchor="Par7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части 1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статьи, при предъявлении уполномоч</w:t>
      </w:r>
      <w:r>
        <w:rPr>
          <w:rFonts w:ascii="Times New Roman" w:hAnsi="Times New Roman" w:cs="Times New Roman"/>
          <w:sz w:val="28"/>
          <w:szCs w:val="28"/>
        </w:rPr>
        <w:t xml:space="preserve">енным представителем кандидата по </w:t>
      </w:r>
      <w:r w:rsidRPr="00980318">
        <w:rPr>
          <w:rFonts w:ascii="Times New Roman" w:hAnsi="Times New Roman" w:cs="Times New Roman"/>
          <w:sz w:val="28"/>
          <w:szCs w:val="28"/>
        </w:rPr>
        <w:t xml:space="preserve">финансовым вопросам паспорта или документа, заменяющего паспорт гражданина.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 xml:space="preserve">Срок полномочий уполномоченного представителя кандидата, избирательного объединения по финансовым вопросам начинается со дня регистрации указанного уполномоченного представителя и истекает через 60 дней со дня голосования, а в случае, если в соответствии с Федеральным </w:t>
      </w:r>
      <w:hyperlink r:id="rId11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об основных гарантиях, настоящим Законом края ведется судебное разбирательство с участием соответствующего кандидата, избирательного объединения, - со дня, следующего за днем вступления в законную силу судебного решения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>. Регистрация уполномоченных представителей по финансовым вопросам осуществляется избирательной комиссией муниципального образования в течение трех дней со дня представления документов на регистрацию.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09.04.2014 N 965-ЗЗК)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4. Кандидат вправе в любое время прекратить полномочия своего уполномоченного представителя по финансовым вопросам, письменно известив его об этом и представив письменное заявление (копию соответствующего решения) в избирательную комиссию, зарегистрировавшую этого уполномоченного представителя в соответствии с </w:t>
      </w:r>
      <w:hyperlink w:anchor="Par8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частью 3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статьи. Копия указанного заявления (копия соответствующего решения) должна быть одновременно направлена кандидатом, избирательным объединением в филиал публичного акционерного общества "Сбербанк России" (иную кредитную организацию), в </w:t>
      </w:r>
      <w:r w:rsidRPr="00980318">
        <w:rPr>
          <w:rFonts w:ascii="Times New Roman" w:hAnsi="Times New Roman" w:cs="Times New Roman"/>
          <w:sz w:val="28"/>
          <w:szCs w:val="28"/>
        </w:rPr>
        <w:lastRenderedPageBreak/>
        <w:t>котором (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 xml:space="preserve">которой) 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>кандидат открыл специальный избирательный счет для формирования своего избирательного фонда.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(в ред. Законов Забайкальского края от 03.06.2016 </w:t>
      </w:r>
      <w:hyperlink r:id="rId13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N 1332-ЗЗК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, от 03.12.2019 </w:t>
      </w:r>
      <w:hyperlink r:id="rId14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N 1770-ЗЗК</w:t>
        </w:r>
      </w:hyperlink>
      <w:r w:rsidRPr="00980318">
        <w:rPr>
          <w:rFonts w:ascii="Times New Roman" w:hAnsi="Times New Roman" w:cs="Times New Roman"/>
          <w:sz w:val="28"/>
          <w:szCs w:val="28"/>
        </w:rPr>
        <w:t>)</w:t>
      </w:r>
    </w:p>
    <w:p w:rsid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5. Регистрация вновь назначенного уполномоченного представителя кандидата по финансовым вопросам осуществляется в порядке, предусмотренном </w:t>
      </w:r>
      <w:hyperlink w:anchor="Par89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частью 3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80318">
        <w:rPr>
          <w:rFonts w:ascii="Times New Roman" w:hAnsi="Times New Roman" w:cs="Times New Roman"/>
          <w:b/>
          <w:bCs/>
          <w:sz w:val="28"/>
          <w:szCs w:val="28"/>
        </w:rPr>
        <w:t>Статья 73. Отчетность по средствам избирательных фондов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1. Кандидат, выдвинутый по единому муниципальному избирательному округу,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0318">
        <w:rPr>
          <w:rFonts w:ascii="Times New Roman" w:hAnsi="Times New Roman" w:cs="Times New Roman"/>
          <w:sz w:val="28"/>
          <w:szCs w:val="28"/>
        </w:rPr>
        <w:t>т в соответствующую избирательную комиссию финансовые отчеты со следующей периодичностью: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1) первый финансовый отчет - одновременно с представлением в соответствующую избирательную комиссию документов, необходимых для регистрации кандидата, при этом в отчет включаются сведения по состоянию на дату, которая не более чем на пять дней предшествует дате сдачи отчета;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2) итоговый финансовый отчет о размере своего избирательного фонда, обо всех источниках его формирования, а также обо всех расходах, произведенных за счет средств избирательного фонда, - не позднее чем через 30 дней со дня официального опубликования результатов выборов. К итоговому финансовому отчету прилагаются первичные финансовые документы, подтверждающие поступление и расходование средств избирательного фонда. Перечень прилагаемых к итоговому финансовому отчету документов определяется избирательной комиссией, организующей выборы.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Финансовый отчет с приложением необходимых документов представляется в избирательную комиссию по форме, утвержденной Избирательной комиссией Забайкальского края.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 xml:space="preserve">бзац введен </w:t>
      </w:r>
      <w:hyperlink r:id="rId15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Забайкальского края от 09.04.2014 N 965-ЗЗК)</w:t>
      </w:r>
    </w:p>
    <w:p w:rsid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2. Если кандидат утратил свой статус, обязанность сдачи финансового отчета возлагается на гражданина, являвшегося кандидатом. 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3. Копии финансовых отчетов, указанных в </w:t>
      </w:r>
      <w:hyperlink w:anchor="Par2" w:history="1">
        <w:r w:rsidRPr="00980318">
          <w:rPr>
            <w:rFonts w:ascii="Times New Roman" w:hAnsi="Times New Roman" w:cs="Times New Roman"/>
            <w:color w:val="0000FF"/>
            <w:sz w:val="28"/>
            <w:szCs w:val="28"/>
          </w:rPr>
          <w:t>части 1</w:t>
        </w:r>
      </w:hyperlink>
      <w:r w:rsidRPr="00980318">
        <w:rPr>
          <w:rFonts w:ascii="Times New Roman" w:hAnsi="Times New Roman" w:cs="Times New Roman"/>
          <w:sz w:val="28"/>
          <w:szCs w:val="28"/>
        </w:rPr>
        <w:t xml:space="preserve"> настоящей статьи, не позднее чем через пять дней со дня их получения передаются соответствующей избирательной комиссией в редакции средств массовой информации для опубликования.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4. Редакции муниципальных периодических печатных изданий обязаны публиковать в течение трех дней переданные им избирательными комиссиями финансовые отчеты (сведения из указанных отчетов). </w:t>
      </w:r>
    </w:p>
    <w:p w:rsidR="00980318" w:rsidRPr="00980318" w:rsidRDefault="00980318" w:rsidP="0098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318">
        <w:rPr>
          <w:rFonts w:ascii="Times New Roman" w:hAnsi="Times New Roman" w:cs="Times New Roman"/>
          <w:sz w:val="28"/>
          <w:szCs w:val="28"/>
        </w:rPr>
        <w:t xml:space="preserve">5. Избирательные комиссии осуществляют </w:t>
      </w:r>
      <w:proofErr w:type="gramStart"/>
      <w:r w:rsidRPr="009803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0318">
        <w:rPr>
          <w:rFonts w:ascii="Times New Roman" w:hAnsi="Times New Roman" w:cs="Times New Roman"/>
          <w:sz w:val="28"/>
          <w:szCs w:val="28"/>
        </w:rPr>
        <w:t xml:space="preserve"> порядком формирования и расходования средств избирательных фондов кандидатов</w:t>
      </w:r>
    </w:p>
    <w:p w:rsidR="00B76C52" w:rsidRPr="00980318" w:rsidRDefault="00B76C52" w:rsidP="0098031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76C52" w:rsidRPr="00980318" w:rsidSect="00F829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0318"/>
    <w:rsid w:val="00980318"/>
    <w:rsid w:val="00B7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88C5B3C7EE2A963B4AF739C67E00B3BC448523434F0AE61340A65F3F08849ABE6B6A00EB4F02F40628DBA0897E0A36482BC3929988222DB82760E8AEA6F" TargetMode="External"/><Relationship Id="rId13" Type="http://schemas.openxmlformats.org/officeDocument/2006/relationships/hyperlink" Target="consultantplus://offline/ref=FF8888C5B3C7EE2A963B4AF739C67E00B3BC44852343490BE81A46A65F3F08849ABE6B6A00EB4F02F40628DAAF847E0A36482BC3929988222DB82760E8AEA6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F8888C5B3C7EE2A963B4AF739C67E00B3BC448523434804EA1847A65F3F08849ABE6B6A00EB4F02F40628DBA2887E0A36482BC3929988222DB82760E8AEA6F" TargetMode="External"/><Relationship Id="rId12" Type="http://schemas.openxmlformats.org/officeDocument/2006/relationships/hyperlink" Target="consultantplus://offline/ref=FF8888C5B3C7EE2A963B4AF739C67E00B3BC448523434906E61841A65F3F08849ABE6B6A00EB4F02F40628DAA0857E0A36482BC3929988222DB82760E8AEA6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8888C5B3C7EE2A963B54FA2FAA2208B1B2198A24434654B24E4BAC0A6757DDD8F9626054A9020EF40D7C8AE2D8785C62127EC88E9E9620A2ABF" TargetMode="External"/><Relationship Id="rId11" Type="http://schemas.openxmlformats.org/officeDocument/2006/relationships/hyperlink" Target="consultantplus://offline/ref=FF8888C5B3C7EE2A963B54FA2FAA2208B1B2198A24434654B24E4BAC0A6757DDCAF93A6C56AD150FF3182ADBA4A8ADF" TargetMode="External"/><Relationship Id="rId5" Type="http://schemas.openxmlformats.org/officeDocument/2006/relationships/hyperlink" Target="consultantplus://offline/ref=FF8888C5B3C7EE2A963B4AF739C67E00B3BC448523434906E61841A65F3F08849ABE6B6A00EB4F02F40628DAA2897E0A36482BC3929988222DB82760E8AEA6F" TargetMode="External"/><Relationship Id="rId15" Type="http://schemas.openxmlformats.org/officeDocument/2006/relationships/hyperlink" Target="consultantplus://offline/ref=A3C04C011BFF30307BC1FC0AAE2178451899196678D29187C55A18F3590DFF79F581038B3056CC0387DB60C7A7821EC3EC7EF53AFAA8F0665F7779555Ca4B5F" TargetMode="External"/><Relationship Id="rId10" Type="http://schemas.openxmlformats.org/officeDocument/2006/relationships/hyperlink" Target="consultantplus://offline/ref=FF8888C5B3C7EE2A963B4AF739C67E00B3BC448523434801E61243A65F3F08849ABE6B6A00EB4F02F40628DBA48F7E0A36482BC3929988222DB82760E8AEA6F" TargetMode="External"/><Relationship Id="rId4" Type="http://schemas.openxmlformats.org/officeDocument/2006/relationships/hyperlink" Target="consultantplus://offline/ref=FF8888C5B3C7EE2A963B4AF739C67E00B3BC448523434906E61841A65F3F08849ABE6B6A00EB4F02F40628DAA58B7E0A36482BC3929988222DB82760E8AEA6F" TargetMode="External"/><Relationship Id="rId9" Type="http://schemas.openxmlformats.org/officeDocument/2006/relationships/hyperlink" Target="consultantplus://offline/ref=FF8888C5B3C7EE2A963B4AF739C67E00B3BC448523434C04EA184EA65F3F08849ABE6B6A00EB4F02F40628DBAF897E0A36482BC3929988222DB82760E8AEA6F" TargetMode="External"/><Relationship Id="rId14" Type="http://schemas.openxmlformats.org/officeDocument/2006/relationships/hyperlink" Target="consultantplus://offline/ref=FF8888C5B3C7EE2A963B4AF739C67E00B3BC448523434801E61243A65F3F08849ABE6B6A00EB4F02F40628DBA48E7E0A36482BC3929988222DB82760E8AEA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2319</Words>
  <Characters>13220</Characters>
  <Application>Microsoft Office Word</Application>
  <DocSecurity>0</DocSecurity>
  <Lines>110</Lines>
  <Paragraphs>31</Paragraphs>
  <ScaleCrop>false</ScaleCrop>
  <Company>regionhall</Company>
  <LinksUpToDate>false</LinksUpToDate>
  <CharactersWithSpaces>15508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KirilovaEV</dc:creator>
  <cp:keywords/>
  <dc:description/>
  <cp:lastModifiedBy>KirilovaEV</cp:lastModifiedBy>
  <cp:revision>3</cp:revision>
  <dcterms:created xsi:type="dcterms:W3CDTF">2020-06-25T05:00:00Z</dcterms:created>
  <dcterms:modified xsi:type="dcterms:W3CDTF">2020-06-25T05:10:00Z</dcterms:modified>
</cp:coreProperties>
</file>